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2E74B5"/>
          <w:sz w:val="18"/>
        </w:rPr>
        <w:t>CUSTOMER MATERIAL</w:t>
      </w:r>
    </w:p>
    <w:p>
      <w:pPr>
        <w:spacing w:after="120"/>
      </w:pPr>
      <w:r>
        <w:rPr>
          <w:rFonts w:ascii="Arial" w:hAnsi="Arial"/>
          <w:b/>
          <w:color w:val="0B3156"/>
          <w:sz w:val="48"/>
        </w:rPr>
        <w:t>Combination Wrench Set</w:t>
      </w:r>
    </w:p>
    <w:p>
      <w:pPr>
        <w:spacing w:after="360"/>
      </w:pPr>
      <w:r>
        <w:rPr>
          <w:rFonts w:ascii="Arial" w:hAnsi="Arial"/>
          <w:b w:val="0"/>
          <w:color w:val="5F6978"/>
          <w:sz w:val="24"/>
        </w:rPr>
        <w:t>Product Specification · Version 2</w:t>
      </w:r>
    </w:p>
    <w:p>
      <w:pPr>
        <w:pStyle w:val="Heading1"/>
      </w:pPr>
      <w:r>
        <w:t>Product overview</w:t>
      </w:r>
    </w:p>
    <w:p>
      <w:r>
        <w:t>A 12-piece professional combination wrench set for automotive, industrial maintenance and hardware retail channels.</w:t>
      </w:r>
    </w:p>
    <w:p>
      <w:pPr>
        <w:pStyle w:val="Heading1"/>
      </w:pPr>
      <w:r>
        <w:t>Technical specifications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</w:tcPr>
          <w:p>
            <w:r>
              <w:rPr>
                <w:b/>
              </w:rPr>
              <w:t>Value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SKU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RD-CW1232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Material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Chrome Molybdenum Steel (CrMo)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Sizes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6-32 mm, 12 pieces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Finish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Mirror-polished chrome plating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Packing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Blister card / BMC case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MOQ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300 sets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Lead time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45 days after deposit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Warranty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12 months against manufacturing defects</w:t>
            </w:r>
          </w:p>
        </w:tc>
      </w:tr>
    </w:tbl>
    <w:p>
      <w:pPr>
        <w:pStyle w:val="Heading1"/>
      </w:pPr>
      <w:r>
        <w:t>Commercial information</w:t>
      </w:r>
    </w:p>
    <w:p>
      <w:r>
        <w:t>Seller: Yongkang Ruida Tools Co., Ltd.</w:t>
      </w:r>
    </w:p>
    <w:p>
      <w:r>
        <w:t>Trade term: FOB Ningbo</w:t>
      </w:r>
    </w:p>
    <w:p>
      <w:r>
        <w:t>Reference unit price: USD 10.25 per set</w:t>
      </w:r>
    </w:p>
    <w:p>
      <w:pPr>
        <w:pStyle w:val="Heading1"/>
      </w:pPr>
      <w:r>
        <w:t>Quality and use</w:t>
      </w:r>
    </w:p>
    <w:p>
      <w:pPr>
        <w:pStyle w:val="ListBullet"/>
      </w:pPr>
      <w:r>
        <w:t>Precision-forged wrench bodies with clearly marked metric sizes.</w:t>
      </w:r>
    </w:p>
    <w:p>
      <w:pPr>
        <w:pStyle w:val="ListBullet"/>
      </w:pPr>
      <w:r>
        <w:t>Inspect the tool before use and select the correct size for the fastener.</w:t>
      </w:r>
    </w:p>
    <w:p>
      <w:pPr>
        <w:pStyle w:val="ListBullet"/>
      </w:pPr>
      <w:r>
        <w:t>Do not use extension pipes or strike the wrench with a hammer.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color w:val="5F6978"/>
        <w:sz w:val="16"/>
      </w:rPr>
      <w:t>AI Capability Immersion Course · Demo data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 w:val="0"/>
        <w:color w:val="5F6978"/>
        <w:sz w:val="16"/>
      </w:rPr>
      <w:t>RUIDA TOOLS  |  STUDENT PRACTICE MATERIAL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B315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